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Profile of the Department</w:t>
      </w:r>
    </w:p>
    <w:p w:rsidR="00000000" w:rsidDel="00000000" w:rsidP="00000000" w:rsidRDefault="00000000" w:rsidRPr="00000000" w14:paraId="00000002">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Department of Philosophy                                                                                    Assam University, Silchar</w:t>
      </w:r>
    </w:p>
    <w:p w:rsidR="00000000" w:rsidDel="00000000" w:rsidP="00000000" w:rsidRDefault="00000000" w:rsidRPr="00000000" w14:paraId="00000003">
      <w:pPr>
        <w:tabs>
          <w:tab w:val="left" w:leader="none" w:pos="709"/>
          <w:tab w:val="left" w:leader="none" w:pos="1134"/>
        </w:tabs>
        <w:spacing w:after="57" w:lineRule="auto"/>
        <w:jc w:val="both"/>
        <w:rPr>
          <w:rFonts w:ascii="Times New Roman" w:cs="Times New Roman" w:eastAsia="Times New Roman" w:hAnsi="Times New Roman"/>
          <w:sz w:val="24"/>
          <w:szCs w:val="24"/>
        </w:rPr>
      </w:pPr>
      <w:bookmarkStart w:colFirst="0" w:colLast="0" w:name="_9uv1mqb8jyiu" w:id="0"/>
      <w:bookmarkEnd w:id="0"/>
      <w:r w:rsidDel="00000000" w:rsidR="00000000" w:rsidRPr="00000000">
        <w:rPr>
          <w:rFonts w:ascii="Times New Roman" w:cs="Times New Roman" w:eastAsia="Times New Roman" w:hAnsi="Times New Roman"/>
          <w:sz w:val="24"/>
          <w:szCs w:val="24"/>
          <w:rtl w:val="0"/>
        </w:rPr>
        <w:t xml:space="preserve">The Department of Philosophy was established in 1995. Since its inception, the Department has been working diligently towards the dissemination and advancement of knowledge by translating philosophical wisdom into the context of understanding. In order to realize the above noble objective, the Department has been working tirelessly to develop and pursue appropriate course modules and Research Programmes. It always stood to ensure quality teaching and knowledge creation through research projects and supervision. The Department has also been trying to promote interdisciplinary research and studies. The current major thrust area of the Department is Philosophical Anthropology in tandem with Classical and Contemporary Indian and Western Philosophies, Consciousness Studies, Applied Philosophy and Critical Theories. Aiming at recognizing and promoting the constructive dimensions related with human existence, the existence of life on earth, and the life and lifeworlds in the religion of the Northeast,  the Department concentrates on specific areas such as, Ethics, Applied Ethics, Existential Ethics, Environmental Ethics, Gender Ethics,  classical and contemporary Indian and Western Philosophies, Critical Theory, Hermeneutics, Philosophy of Religion, Philosophy of Human Rights and   Philosophy of Social Sciences.</w:t>
      </w:r>
    </w:p>
    <w:p w:rsidR="00000000" w:rsidDel="00000000" w:rsidP="00000000" w:rsidRDefault="00000000" w:rsidRPr="00000000" w14:paraId="0000000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Vision of the Department</w:t>
      </w:r>
      <w:r w:rsidDel="00000000" w:rsidR="00000000" w:rsidRPr="00000000">
        <w:rPr>
          <w:rFonts w:ascii="Times New Roman" w:cs="Times New Roman" w:eastAsia="Times New Roman" w:hAnsi="Times New Roman"/>
          <w:sz w:val="24"/>
          <w:szCs w:val="24"/>
          <w:rtl w:val="0"/>
        </w:rPr>
        <w:t xml:space="preserve">: The vision is of the Department is centred on the philosophy of life along with philosophical anthropology, critical theories and ethical philosophies of both Western and Indian origin, including Consciousness Studies, and the Philosophy of human rights in the immediate context of the North East.  It aims to create and in constant effort for coordinating a platform for developing a North East Philosophy of Regional Affirmation, Development, Religiosity, Environmental Human Rights and Philosophy of Public Health and Life Style. </w:t>
      </w:r>
    </w:p>
    <w:p w:rsidR="00000000" w:rsidDel="00000000" w:rsidP="00000000" w:rsidRDefault="00000000" w:rsidRPr="00000000" w14:paraId="000000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Thrust Areas of the Department</w:t>
      </w:r>
      <w:r w:rsidDel="00000000" w:rsidR="00000000" w:rsidRPr="00000000">
        <w:rPr>
          <w:rFonts w:ascii="Times New Roman" w:cs="Times New Roman" w:eastAsia="Times New Roman" w:hAnsi="Times New Roman"/>
          <w:sz w:val="24"/>
          <w:szCs w:val="24"/>
          <w:rtl w:val="0"/>
        </w:rPr>
        <w:t xml:space="preserve">: The current major thrust areas of the Department are Philosophical Anthropology in tandem with Classical and Contemporary Indian and Western Philosophies, Applied Philosophy and Critical Theories.</w:t>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Programmes of Study</w:t>
      </w:r>
      <w:r w:rsidDel="00000000" w:rsidR="00000000" w:rsidRPr="00000000">
        <w:rPr>
          <w:rFonts w:ascii="Times New Roman" w:cs="Times New Roman" w:eastAsia="Times New Roman" w:hAnsi="Times New Roman"/>
          <w:sz w:val="24"/>
          <w:szCs w:val="24"/>
          <w:rtl w:val="0"/>
        </w:rPr>
        <w:t xml:space="preserve">:</w:t>
      </w:r>
    </w:p>
    <w:tbl>
      <w:tblPr>
        <w:tblStyle w:val="Table1"/>
        <w:tblW w:w="9470.0" w:type="dxa"/>
        <w:jc w:val="left"/>
        <w:tblInd w:w="-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
        <w:gridCol w:w="1554"/>
        <w:gridCol w:w="1614"/>
        <w:gridCol w:w="3909"/>
        <w:gridCol w:w="1823"/>
        <w:tblGridChange w:id="0">
          <w:tblGrid>
            <w:gridCol w:w="570"/>
            <w:gridCol w:w="1554"/>
            <w:gridCol w:w="1614"/>
            <w:gridCol w:w="3909"/>
            <w:gridCol w:w="1823"/>
          </w:tblGrid>
        </w:tblGridChange>
      </w:tblGrid>
      <w:tr>
        <w:trPr>
          <w:cantSplit w:val="0"/>
          <w:tblHeader w:val="0"/>
        </w:trPr>
        <w:tc>
          <w:tcPr/>
          <w:p w:rsidR="00000000" w:rsidDel="00000000" w:rsidP="00000000" w:rsidRDefault="00000000" w:rsidRPr="00000000" w14:paraId="0000000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 No.</w:t>
            </w:r>
          </w:p>
        </w:tc>
        <w:tc>
          <w:tcPr/>
          <w:p w:rsidR="00000000" w:rsidDel="00000000" w:rsidP="00000000" w:rsidRDefault="00000000" w:rsidRPr="00000000" w14:paraId="0000000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Course</w:t>
            </w:r>
          </w:p>
        </w:tc>
        <w:tc>
          <w:tcPr/>
          <w:p w:rsidR="00000000" w:rsidDel="00000000" w:rsidP="00000000" w:rsidRDefault="00000000" w:rsidRPr="00000000" w14:paraId="0000000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Subject</w:t>
            </w:r>
          </w:p>
        </w:tc>
        <w:tc>
          <w:tcPr/>
          <w:p w:rsidR="00000000" w:rsidDel="00000000" w:rsidP="00000000" w:rsidRDefault="00000000" w:rsidRPr="00000000" w14:paraId="0000000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Eligibility Criteria</w:t>
            </w:r>
          </w:p>
        </w:tc>
        <w:tc>
          <w:tcPr/>
          <w:p w:rsidR="00000000" w:rsidDel="00000000" w:rsidP="00000000" w:rsidRDefault="00000000" w:rsidRPr="00000000" w14:paraId="0000000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Intake</w:t>
            </w:r>
          </w:p>
        </w:tc>
      </w:tr>
      <w:tr>
        <w:trPr>
          <w:cantSplit w:val="0"/>
          <w:tblHeader w:val="0"/>
        </w:trPr>
        <w:tc>
          <w:tcPr/>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w:t>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Course Work).</w:t>
            </w:r>
          </w:p>
        </w:tc>
        <w:tc>
          <w:tcPr/>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Philosophy</w:t>
            </w:r>
          </w:p>
        </w:tc>
        <w:tc>
          <w:tcPr/>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Candidates who have passed TDC examination in Arts in relevant subjects as per the PG Admission norms of Assam University/UGC (Qualified and modified Under-graduates according to the NEP/UGC may also apply)  </w:t>
            </w:r>
          </w:p>
        </w:tc>
        <w:tc>
          <w:tcPr/>
          <w:p w:rsidR="00000000" w:rsidDel="00000000" w:rsidP="00000000" w:rsidRDefault="00000000" w:rsidRPr="00000000" w14:paraId="000000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30</w:t>
            </w:r>
          </w:p>
        </w:tc>
      </w:tr>
      <w:tr>
        <w:trPr>
          <w:cantSplit w:val="0"/>
          <w:tblHeader w:val="0"/>
        </w:trPr>
        <w:tc>
          <w:tcPr/>
          <w:p w:rsidR="00000000" w:rsidDel="00000000" w:rsidP="00000000" w:rsidRDefault="00000000" w:rsidRPr="00000000" w14:paraId="000000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1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Ph.D.</w:t>
            </w:r>
          </w:p>
          <w:p w:rsidR="00000000" w:rsidDel="00000000" w:rsidP="00000000" w:rsidRDefault="00000000" w:rsidRPr="00000000" w14:paraId="000000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Course Work and Research Work)</w:t>
            </w:r>
          </w:p>
        </w:tc>
        <w:tc>
          <w:tcPr/>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Philosophy</w:t>
            </w:r>
          </w:p>
        </w:tc>
        <w:tc>
          <w:tcPr/>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 A Philosophy with minimum 55% of marks. (Reservation benefits according to the UGC and the GOI Reservation Policies and Guidelines)</w:t>
            </w:r>
          </w:p>
        </w:tc>
        <w:tc>
          <w:tcPr/>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Department will announce the number of seats according to the availability each year before PhD Entrance </w:t>
            </w:r>
          </w:p>
        </w:tc>
      </w:tr>
    </w:tbl>
    <w:p w:rsidR="00000000" w:rsidDel="00000000" w:rsidP="00000000" w:rsidRDefault="00000000" w:rsidRPr="00000000" w14:paraId="0000002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Faculty Profile: </w:t>
      </w:r>
      <w:r w:rsidDel="00000000" w:rsidR="00000000" w:rsidRPr="00000000">
        <w:rPr>
          <w:rtl w:val="0"/>
        </w:rPr>
      </w:r>
    </w:p>
    <w:tbl>
      <w:tblPr>
        <w:tblStyle w:val="Table2"/>
        <w:tblW w:w="92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2381"/>
        <w:gridCol w:w="4031"/>
        <w:tblGridChange w:id="0">
          <w:tblGrid>
            <w:gridCol w:w="2830"/>
            <w:gridCol w:w="2381"/>
            <w:gridCol w:w="4031"/>
          </w:tblGrid>
        </w:tblGridChange>
      </w:tblGrid>
      <w:tr>
        <w:trPr>
          <w:cantSplit w:val="0"/>
          <w:trHeight w:val="457" w:hRule="atLeast"/>
          <w:tblHeader w:val="0"/>
        </w:trPr>
        <w:tc>
          <w:tcPr/>
          <w:p w:rsidR="00000000" w:rsidDel="00000000" w:rsidP="00000000" w:rsidRDefault="00000000" w:rsidRPr="00000000" w14:paraId="0000002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c>
          <w:tcPr/>
          <w:p w:rsidR="00000000" w:rsidDel="00000000" w:rsidP="00000000" w:rsidRDefault="00000000" w:rsidRPr="00000000" w14:paraId="0000002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Designation</w:t>
            </w:r>
          </w:p>
        </w:tc>
        <w:tc>
          <w:tcPr/>
          <w:p w:rsidR="00000000" w:rsidDel="00000000" w:rsidP="00000000" w:rsidRDefault="00000000" w:rsidRPr="00000000" w14:paraId="0000002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Area of Specialization</w:t>
            </w:r>
          </w:p>
        </w:tc>
      </w:tr>
      <w:tr>
        <w:trPr>
          <w:cantSplit w:val="0"/>
          <w:trHeight w:val="457" w:hRule="atLeast"/>
          <w:tblHeader w:val="0"/>
        </w:trPr>
        <w:tc>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Subhra Nag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PH. D</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Professor</w:t>
              <w:tab/>
            </w:r>
          </w:p>
        </w:tc>
        <w:tc>
          <w:tcPr/>
          <w:p w:rsidR="00000000" w:rsidDel="00000000" w:rsidP="00000000" w:rsidRDefault="00000000" w:rsidRPr="00000000" w14:paraId="0000002B">
            <w:pPr>
              <w:tabs>
                <w:tab w:val="left" w:leader="none" w:pos="2835"/>
                <w:tab w:val="left" w:leader="none" w:pos="4309"/>
              </w:tabs>
              <w:spacing w:after="57" w:lineRule="auto"/>
              <w:ind w:right="113"/>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tabs>
                <w:tab w:val="left" w:leader="none" w:pos="2835"/>
                <w:tab w:val="left" w:leader="none" w:pos="4309"/>
              </w:tabs>
              <w:spacing w:after="57" w:lineRule="auto"/>
              <w:ind w:right="113"/>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Philosophical Psychology, Moral Philosophy, Gender Studies</w:t>
            </w:r>
          </w:p>
        </w:tc>
      </w:tr>
      <w:tr>
        <w:trPr>
          <w:cantSplit w:val="0"/>
          <w:trHeight w:val="457" w:hRule="atLeast"/>
          <w:tblHeader w:val="0"/>
        </w:trPr>
        <w:tc>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Nirmali Barman</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PH. D.</w:t>
            </w:r>
            <w:r w:rsidDel="00000000" w:rsidR="00000000" w:rsidRPr="00000000">
              <w:rPr>
                <w:rtl w:val="0"/>
              </w:rPr>
            </w:r>
          </w:p>
        </w:tc>
        <w:tc>
          <w:tcPr/>
          <w:p w:rsidR="00000000" w:rsidDel="00000000" w:rsidP="00000000" w:rsidRDefault="00000000" w:rsidRPr="00000000" w14:paraId="000000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Professor</w:t>
            </w:r>
          </w:p>
        </w:tc>
        <w:tc>
          <w:tcPr/>
          <w:p w:rsidR="00000000" w:rsidDel="00000000" w:rsidP="00000000" w:rsidRDefault="00000000" w:rsidRPr="00000000" w14:paraId="00000031">
            <w:pPr>
              <w:tabs>
                <w:tab w:val="left" w:leader="none" w:pos="2835"/>
                <w:tab w:val="left" w:leader="none" w:pos="4309"/>
              </w:tabs>
              <w:spacing w:after="57" w:lineRule="auto"/>
              <w:ind w:right="113"/>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Modern Indian Philosophy, Philosophies of Swami Vivekananda, Mahatma Gandhi and Sri Aurobindo</w:t>
            </w:r>
          </w:p>
        </w:tc>
      </w:tr>
      <w:tr>
        <w:trPr>
          <w:cantSplit w:val="0"/>
          <w:trHeight w:val="457" w:hRule="atLeast"/>
          <w:tblHeader w:val="0"/>
        </w:trPr>
        <w:tc>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 Nataraju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PH.D.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Professor</w:t>
            </w:r>
          </w:p>
        </w:tc>
        <w:tc>
          <w:tcPr/>
          <w:p w:rsidR="00000000" w:rsidDel="00000000" w:rsidP="00000000" w:rsidRDefault="00000000" w:rsidRPr="00000000" w14:paraId="00000036">
            <w:pPr>
              <w:tabs>
                <w:tab w:val="left" w:leader="none" w:pos="2835"/>
                <w:tab w:val="left" w:leader="none" w:pos="4309"/>
              </w:tabs>
              <w:spacing w:after="57" w:lineRule="auto"/>
              <w:ind w:right="113"/>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Vedanta, Contemporary Indian Philosophy, Limits of Thoughts Discussion, Consciousness Studies</w:t>
            </w:r>
          </w:p>
        </w:tc>
      </w:tr>
      <w:tr>
        <w:trPr>
          <w:cantSplit w:val="0"/>
          <w:trHeight w:val="457" w:hRule="atLeast"/>
          <w:tblHeader w:val="0"/>
        </w:trPr>
        <w:tc>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Pius V. Thomas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PH. D.,  Post-Doctoral Studies</w:t>
            </w:r>
            <w:r w:rsidDel="00000000" w:rsidR="00000000" w:rsidRPr="00000000">
              <w:rPr>
                <w:rtl w:val="0"/>
              </w:rPr>
            </w:r>
          </w:p>
        </w:tc>
        <w:tc>
          <w:tcPr/>
          <w:p w:rsidR="00000000" w:rsidDel="00000000" w:rsidP="00000000" w:rsidRDefault="00000000" w:rsidRPr="00000000" w14:paraId="000000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Associate Professor</w:t>
            </w:r>
          </w:p>
        </w:tc>
        <w:tc>
          <w:tcPr/>
          <w:p w:rsidR="00000000" w:rsidDel="00000000" w:rsidP="00000000" w:rsidRDefault="00000000" w:rsidRPr="00000000" w14:paraId="0000003B">
            <w:pPr>
              <w:tabs>
                <w:tab w:val="left" w:leader="none" w:pos="2835"/>
                <w:tab w:val="left" w:leader="none" w:pos="4309"/>
              </w:tabs>
              <w:spacing w:after="57" w:lineRule="auto"/>
              <w:ind w:right="113"/>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Hermeneutics, Contemporary Western/Indian  Philosophies, Critical Theory, Philosophy of Religion, Philosophy of Human Rights, Phenomenology and Existentialism, Buddhism, Ethics.</w:t>
            </w:r>
          </w:p>
        </w:tc>
      </w:tr>
      <w:tr>
        <w:trPr>
          <w:cantSplit w:val="0"/>
          <w:trHeight w:val="457" w:hRule="atLeast"/>
          <w:tblHeader w:val="0"/>
        </w:trPr>
        <w:tc>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Munmun Chakraborty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PH.D.</w:t>
            </w:r>
            <w:r w:rsidDel="00000000" w:rsidR="00000000" w:rsidRPr="00000000">
              <w:rPr>
                <w:rtl w:val="0"/>
              </w:rPr>
            </w:r>
          </w:p>
        </w:tc>
        <w:tc>
          <w:tcPr/>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Assistant Professor</w:t>
            </w:r>
          </w:p>
        </w:tc>
        <w:tc>
          <w:tcPr/>
          <w:p w:rsidR="00000000" w:rsidDel="00000000" w:rsidP="00000000" w:rsidRDefault="00000000" w:rsidRPr="00000000" w14:paraId="00000040">
            <w:pPr>
              <w:tabs>
                <w:tab w:val="left" w:leader="none" w:pos="2835"/>
                <w:tab w:val="left" w:leader="none" w:pos="4309"/>
              </w:tabs>
              <w:spacing w:after="57" w:lineRule="auto"/>
              <w:ind w:right="113"/>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Vedanta, Phenomenology, Contemporary Indian Philosophy, Consciousness Studies</w:t>
            </w:r>
          </w:p>
        </w:tc>
      </w:tr>
      <w:tr>
        <w:trPr>
          <w:cantSplit w:val="0"/>
          <w:trHeight w:val="457" w:hRule="atLeast"/>
          <w:tblHeader w:val="0"/>
        </w:trPr>
        <w:tc>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Debosmitha Chakraborty PH.D</w:t>
            </w:r>
          </w:p>
        </w:tc>
        <w:tc>
          <w:tcPr/>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Guest Faculty</w:t>
            </w:r>
          </w:p>
        </w:tc>
        <w:tc>
          <w:tcPr/>
          <w:p w:rsidR="00000000" w:rsidDel="00000000" w:rsidP="00000000" w:rsidRDefault="00000000" w:rsidRPr="00000000" w14:paraId="00000043">
            <w:pPr>
              <w:tabs>
                <w:tab w:val="left" w:leader="none" w:pos="2835"/>
                <w:tab w:val="left" w:leader="none" w:pos="4309"/>
              </w:tabs>
              <w:spacing w:after="57" w:lineRule="auto"/>
              <w:ind w:right="113"/>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Pragmatic Philosophy, Contemporary Western Philosophy</w:t>
            </w:r>
          </w:p>
        </w:tc>
      </w:tr>
    </w:tbl>
    <w:p w:rsidR="00000000" w:rsidDel="00000000" w:rsidP="00000000" w:rsidRDefault="00000000" w:rsidRPr="00000000" w14:paraId="0000004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Centres of Study</w:t>
      </w:r>
      <w:r w:rsidDel="00000000" w:rsidR="00000000" w:rsidRPr="00000000">
        <w:rPr>
          <w:rFonts w:ascii="Times New Roman" w:cs="Times New Roman" w:eastAsia="Times New Roman" w:hAnsi="Times New Roman"/>
          <w:sz w:val="24"/>
          <w:szCs w:val="24"/>
          <w:rtl w:val="0"/>
        </w:rPr>
        <w:t xml:space="preserve">: Nil</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Academic Collaborations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An MOU was signed between Mahachulalongkornrajavidyalaya</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University, Bangkok</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Thailand and Dept. of Philosophy, Assam University, Silchar on May 19, 2016. IBSC-International Buddhist Studies College and School of Philosophy, AU have signed the MOU with the Department of Philosophy, AUS, for the exchange of students and faculty for teaching and research.</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Strength and Uniqueness of the Department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The core theory subjects of Philosophical studies and the applied philosophy courses, such as, Applied (Professional) Ethics, Gender Ethics,  Environmental Ethics  and the Philosophy of Human Rights, offered at the Department create a competent learning and research ambience, through assiduously organized seminars and conferences, both National and International, online and offline, and the curriculum designed to incorporate all the modern communicative methods, including the web recourses, social media and other means of e-communication, in order to make the Department one of the best and capable  leaning centres/Departments of Philosophy of the North East India.  </w:t>
      </w:r>
      <w:r w:rsidDel="00000000" w:rsidR="00000000" w:rsidRPr="00000000">
        <w:rPr>
          <w:rtl w:val="0"/>
        </w:rPr>
      </w:r>
    </w:p>
    <w:p w:rsidR="00000000" w:rsidDel="00000000" w:rsidP="00000000" w:rsidRDefault="00000000" w:rsidRPr="00000000" w14:paraId="00000049">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Head of the Department</w:t>
      </w:r>
      <w:r w:rsidDel="00000000" w:rsidR="00000000" w:rsidRPr="00000000">
        <w:rPr>
          <w:rFonts w:ascii="Times New Roman" w:cs="Times New Roman" w:eastAsia="Times New Roman" w:hAnsi="Times New Roman"/>
          <w:sz w:val="28"/>
          <w:szCs w:val="28"/>
          <w:rtl w:val="0"/>
        </w:rPr>
        <w:t xml:space="preserve">: Dr. Pius V Thomas                                                                                                      </w:t>
      </w:r>
      <w:r w:rsidDel="00000000" w:rsidR="00000000" w:rsidRPr="00000000">
        <w:rPr>
          <w:rFonts w:ascii="Times New Roman" w:cs="Times New Roman" w:eastAsia="Times New Roman" w:hAnsi="Times New Roman"/>
          <w:b w:val="1"/>
          <w:sz w:val="28"/>
          <w:szCs w:val="28"/>
          <w:rtl w:val="0"/>
        </w:rPr>
        <w:t xml:space="preserve">Contact Details</w:t>
      </w:r>
      <w:r w:rsidDel="00000000" w:rsidR="00000000" w:rsidRPr="00000000">
        <w:rPr>
          <w:rFonts w:ascii="Times New Roman" w:cs="Times New Roman" w:eastAsia="Times New Roman" w:hAnsi="Times New Roman"/>
          <w:sz w:val="28"/>
          <w:szCs w:val="28"/>
          <w:rtl w:val="0"/>
        </w:rPr>
        <w:t xml:space="preserve">: Ph. 9401685603, Email: </w:t>
      </w:r>
      <w:hyperlink r:id="rId7">
        <w:r w:rsidDel="00000000" w:rsidR="00000000" w:rsidRPr="00000000">
          <w:rPr>
            <w:rFonts w:ascii="Times New Roman" w:cs="Times New Roman" w:eastAsia="Times New Roman" w:hAnsi="Times New Roman"/>
            <w:color w:val="0000ff"/>
            <w:sz w:val="28"/>
            <w:szCs w:val="28"/>
            <w:u w:val="single"/>
            <w:rtl w:val="0"/>
          </w:rPr>
          <w:t xml:space="preserve">piustomjsc@gmail.com</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49532</wp:posOffset>
                </wp:positionH>
                <wp:positionV relativeFrom="paragraph">
                  <wp:posOffset>560705</wp:posOffset>
                </wp:positionV>
                <wp:extent cx="6469380" cy="6404610"/>
                <wp:effectExtent b="91440" l="57150" r="83820" t="19050"/>
                <wp:wrapNone/>
                <wp:docPr id="1" name=""/>
                <a:graphic>
                  <a:graphicData uri="http://schemas.microsoft.com/office/word/2010/wordprocessingShape">
                    <wps:wsp>
                      <wps:cNvSpPr/>
                      <wps:spPr>
                        <a:xfrm>
                          <a:off x="0" y="0"/>
                          <a:ext cx="6469380" cy="640461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685148" w:rsidDel="00000000" w:rsidP="00685148" w:rsidRDefault="00685148" w:rsidRPr="00000000" w14:paraId="7CA7340E" w14:textId="7D6A13AA">
                            <w:pPr>
                              <w:jc w:val="center"/>
                            </w:pPr>
                            <w:r w:rsidDel="00000000" w:rsidR="00000000" w:rsidRPr="00000000">
                              <w:rPr>
                                <w:noProof w:val="1"/>
                              </w:rPr>
                              <w:drawing>
                                <wp:inline distB="0" distT="0" distL="0" distR="0">
                                  <wp:extent cx="6135370" cy="6370320"/>
                                  <wp:effectExtent b="0" l="0" r="0" t="0"/>
                                  <wp:docPr id="3" name="Picture 3"/>
                                  <wp:cNvGraphicFramePr>
                                    <a:graphicFrameLocks noChangeAspect="1"/>
                                  </wp:cNvGraphicFramePr>
                                  <a:graphic>
                                    <a:graphicData uri="http://schemas.openxmlformats.org/drawingml/2006/picture">
                                      <pic:pic>
                                        <pic:nvPicPr>
                                          <pic:cNvPr id="0" name="Picture 6"/>
                                          <pic:cNvPicPr>
                                            <a:picLocks noChangeAspect="1" noChangeArrowheads="1"/>
                                          </pic:cNvPicPr>
                                        </pic:nvPicPr>
                                        <pic:blipFill>
                                          <a:blip r:embed="rId1">
                                            <a:extLst>
                                              <a:ext uri="{28A0092B-C50C-407E-A947-70E740481C1C}"/>
                                            </a:extLst>
                                          </a:blip>
                                          <a:srcRect/>
                                          <a:stretch>
                                            <a:fillRect/>
                                          </a:stretch>
                                        </pic:blipFill>
                                        <pic:spPr bwMode="auto">
                                          <a:xfrm>
                                            <a:off x="0" y="0"/>
                                            <a:ext cx="6135370" cy="6370320"/>
                                          </a:xfrm>
                                          <a:prstGeom prst="rect">
                                            <a:avLst/>
                                          </a:prstGeom>
                                          <a:noFill/>
                                          <a:ln>
                                            <a:noFill/>
                                          </a:ln>
                                        </pic:spPr>
                                      </pic:pic>
                                    </a:graphicData>
                                  </a:graphic>
                                </wp:inline>
                              </w:drawing>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49532</wp:posOffset>
                </wp:positionH>
                <wp:positionV relativeFrom="paragraph">
                  <wp:posOffset>560705</wp:posOffset>
                </wp:positionV>
                <wp:extent cx="6610350" cy="6515100"/>
                <wp:effectExtent b="0" l="0" r="0" t="0"/>
                <wp:wrapNone/>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610350" cy="6515100"/>
                        </a:xfrm>
                        <a:prstGeom prst="rect"/>
                        <a:ln/>
                      </pic:spPr>
                    </pic:pic>
                  </a:graphicData>
                </a:graphic>
              </wp:anchor>
            </w:drawing>
          </mc:Fallback>
        </mc:AlternateConten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mbria" w:cs="Cambria" w:eastAsia="Cambria" w:hAnsi="Cambria"/>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mailto:piustomjsc@gmail.com"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